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260" w:type="dxa"/>
              <w:start w:w="300" w:type="dxa"/>
              <w:bottom w:w="260" w:type="dxa"/>
              <w:end w:w="300" w:type="dxa"/>
            </w:tcMar>
          </w:tcPr>
          <w:p>
            <w:pPr>
              <w:spacing w:after="240"/>
            </w:pPr>
            <w:r>
              <w:rPr>
                <w:rFonts w:ascii="Arial" w:hAnsi="Arial"/>
                <w:b/>
                <w:sz w:val="38"/>
              </w:rPr>
              <w:t>Mehr von der Region entdecken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Sie verbringen Ihren Urlaub bei uns und möchten die Region Bodensee-Vorarlberg entdecken? Mit der vor.you Erlebniskarte erhalten Sie Zugang zu über 50 Ausflugszielen – von Bergbahnen über Museen bis hin zu weiteren Freizeitangeboten.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Je nach Aufenthaltsdauer können Sie zwischen 24, 48 oder 72 Stunden sowie einer ganzen Woche wählen.</w:t>
            </w:r>
          </w:p>
          <w:tbl>
            <w:tblPr>
              <w:tblW w:type="auto" w:w="0"/>
              <w:jc w:val="left"/>
              <w:tblLook w:firstColumn="1" w:firstRow="1" w:lastColumn="0" w:lastRow="0" w:noHBand="0" w:noVBand="1" w:val="04A0"/>
            </w:tblPr>
            <w:tblGrid>
              <w:gridCol w:w="9746"/>
            </w:tblGrid>
            <w:tr>
              <w:tc>
                <w:tcPr>
                  <w:tcW w:type="dxa" w:w="9746"/>
                  <w:shd w:fill="EE0000"/>
                  <w:tcBorders>
                    <w:top w:val="single" w:sz="4" w:color="EE0000"/>
                    <w:left w:val="single" w:sz="4" w:color="EE0000"/>
                    <w:bottom w:val="single" w:sz="4" w:color="EE0000"/>
                    <w:right w:val="single" w:sz="4" w:color="EE0000"/>
                  </w:tcBorders>
                  <w:tcMar>
                    <w:top w:w="120" w:type="dxa"/>
                    <w:start w:w="220" w:type="dxa"/>
                    <w:bottom w:w="120" w:type="dxa"/>
                    <w:end w:w="220" w:type="dxa"/>
                  </w:tcMar>
                </w:tcPr>
                <w:p>
                  <w:pPr>
                    <w:jc w:val="center"/>
                  </w:pPr>
                  <w:hyperlink r:id="rId9">
                    <w:r>
                      <w:rPr>
                        <w:rFonts w:ascii="Arial" w:hAnsi="Arial"/>
                        <w:color w:val="FFFFFF"/>
                        <w:u w:val="none"/>
                        <w:b/>
                      </w:rPr>
                      <w:t>vor.you Erlebniskarte entdecken</w:t>
                    </w:r>
                  </w:hyperlink>
                </w:p>
              </w:tc>
            </w:tr>
          </w:tbl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