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9746"/>
      </w:tblGrid>
      <w:tr>
        <w:tc>
          <w:tcPr>
            <w:tcW w:type="dxa" w:w="9746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260" w:type="dxa"/>
              <w:start w:w="300" w:type="dxa"/>
              <w:bottom w:w="260" w:type="dxa"/>
              <w:end w:w="300" w:type="dxa"/>
            </w:tcMar>
          </w:tcPr>
          <w:p>
            <w:pPr>
              <w:spacing w:after="240"/>
            </w:pPr>
            <w:r>
              <w:rPr>
                <w:rFonts w:ascii="Arial" w:hAnsi="Arial"/>
                <w:b/>
                <w:sz w:val="38"/>
              </w:rPr>
              <w:t>Die Region mit der vor.you Erlebniskarte entdecken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Bergbahnen, Museen, Kultur und weitere Freizeitangebote: Mit der vor.you Erlebniskarte erhalten Sie Zugang zu über 50 Ausflugszielen in der Region Bodensee-Vorarlberg.</w:t>
            </w:r>
          </w:p>
          <w:p>
            <w:pPr>
              <w:spacing w:after="200"/>
            </w:pPr>
            <w:r>
              <w:rPr>
                <w:rFonts w:ascii="Arial" w:hAnsi="Arial"/>
                <w:sz w:val="25"/>
              </w:rPr>
              <w:t>Die vor.you Erlebniskarte ist für 24, 48 oder 72 Stunden sowie für eine ganze Woche erhältlich. Zusätzlich profitieren Karteninhaber:innen von Vorteilen bei ausgewählten Bonuspartner:innen.</w:t>
            </w:r>
          </w:p>
          <w:tbl>
            <w:tblPr>
              <w:tblW w:type="auto" w:w="0"/>
              <w:jc w:val="left"/>
              <w:tblLook w:firstColumn="1" w:firstRow="1" w:lastColumn="0" w:lastRow="0" w:noHBand="0" w:noVBand="1" w:val="04A0"/>
            </w:tblPr>
            <w:tblGrid>
              <w:gridCol w:w="9746"/>
            </w:tblGrid>
            <w:tr>
              <w:tc>
                <w:tcPr>
                  <w:tcW w:type="dxa" w:w="9746"/>
                  <w:shd w:fill="EE0000"/>
                  <w:tcBorders>
                    <w:top w:val="single" w:sz="4" w:color="EE0000"/>
                    <w:left w:val="single" w:sz="4" w:color="EE0000"/>
                    <w:bottom w:val="single" w:sz="4" w:color="EE0000"/>
                    <w:right w:val="single" w:sz="4" w:color="EE0000"/>
                  </w:tcBorders>
                  <w:tcMar>
                    <w:top w:w="120" w:type="dxa"/>
                    <w:start w:w="220" w:type="dxa"/>
                    <w:bottom w:w="120" w:type="dxa"/>
                    <w:end w:w="220" w:type="dxa"/>
                  </w:tcMar>
                </w:tcPr>
                <w:p>
                  <w:pPr>
                    <w:jc w:val="center"/>
                  </w:pPr>
                  <w:hyperlink r:id="rId9">
                    <w:r>
                      <w:rPr>
                        <w:rFonts w:ascii="Arial" w:hAnsi="Arial"/>
                        <w:color w:val="FFFFFF"/>
                        <w:u w:val="none"/>
                        <w:b/>
                      </w:rPr>
                      <w:t>vor.you Erlebniskarte entdecken</w:t>
                    </w:r>
                  </w:hyperlink>
                </w:p>
              </w:tc>
            </w:tr>
          </w:tbl>
          <w:p/>
        </w:tc>
      </w:tr>
    </w:tbl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